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CE" w:rsidRPr="007646D9" w:rsidRDefault="005618CE" w:rsidP="005618CE">
      <w:pPr>
        <w:tabs>
          <w:tab w:val="left" w:pos="540"/>
          <w:tab w:val="left" w:pos="6195"/>
        </w:tabs>
        <w:jc w:val="both"/>
        <w:rPr>
          <w:sz w:val="28"/>
          <w:szCs w:val="28"/>
        </w:rPr>
      </w:pPr>
      <w:r>
        <w:rPr>
          <w:sz w:val="28"/>
          <w:szCs w:val="28"/>
        </w:rPr>
        <w:t xml:space="preserve"> </w:t>
      </w:r>
      <w:r w:rsidRPr="007646D9">
        <w:rPr>
          <w:sz w:val="28"/>
          <w:szCs w:val="28"/>
        </w:rPr>
        <w:t xml:space="preserve">          </w:t>
      </w:r>
      <w:r>
        <w:rPr>
          <w:sz w:val="28"/>
          <w:szCs w:val="28"/>
        </w:rPr>
        <w:t>«</w:t>
      </w:r>
      <w:r w:rsidRPr="007646D9">
        <w:rPr>
          <w:sz w:val="28"/>
          <w:szCs w:val="28"/>
        </w:rPr>
        <w:t xml:space="preserve">Программа муниципальных заимствований городского округа </w:t>
      </w:r>
    </w:p>
    <w:p w:rsidR="005618CE" w:rsidRPr="007646D9" w:rsidRDefault="005618CE" w:rsidP="005618CE">
      <w:pPr>
        <w:rPr>
          <w:sz w:val="28"/>
          <w:szCs w:val="28"/>
        </w:rPr>
      </w:pPr>
      <w:r w:rsidRPr="007646D9">
        <w:rPr>
          <w:sz w:val="28"/>
          <w:szCs w:val="28"/>
        </w:rPr>
        <w:t xml:space="preserve">                    город Уфа  Республики Башкортостан на 2012 год</w:t>
      </w:r>
    </w:p>
    <w:p w:rsidR="005618CE" w:rsidRPr="007646D9" w:rsidRDefault="005618CE" w:rsidP="005618CE">
      <w:pPr>
        <w:rPr>
          <w:sz w:val="28"/>
          <w:szCs w:val="28"/>
        </w:rPr>
      </w:pPr>
    </w:p>
    <w:p w:rsidR="005618CE" w:rsidRPr="007646D9" w:rsidRDefault="005618CE" w:rsidP="005618CE">
      <w:pPr>
        <w:rPr>
          <w:sz w:val="28"/>
          <w:szCs w:val="28"/>
        </w:rPr>
      </w:pPr>
      <w:r w:rsidRPr="007646D9">
        <w:rPr>
          <w:sz w:val="28"/>
          <w:szCs w:val="28"/>
        </w:rPr>
        <w:t xml:space="preserve">                                                                                                         </w:t>
      </w:r>
      <w:r>
        <w:rPr>
          <w:sz w:val="28"/>
          <w:szCs w:val="28"/>
        </w:rPr>
        <w:t xml:space="preserve">   </w:t>
      </w:r>
      <w:r w:rsidRPr="007646D9">
        <w:rPr>
          <w:sz w:val="28"/>
          <w:szCs w:val="28"/>
        </w:rPr>
        <w:t xml:space="preserve">   (</w:t>
      </w:r>
      <w:proofErr w:type="spellStart"/>
      <w:r w:rsidRPr="007646D9">
        <w:rPr>
          <w:sz w:val="28"/>
          <w:szCs w:val="28"/>
        </w:rPr>
        <w:t>тыс</w:t>
      </w:r>
      <w:proofErr w:type="gramStart"/>
      <w:r w:rsidRPr="007646D9">
        <w:rPr>
          <w:sz w:val="28"/>
          <w:szCs w:val="28"/>
        </w:rPr>
        <w:t>.р</w:t>
      </w:r>
      <w:proofErr w:type="gramEnd"/>
      <w:r w:rsidRPr="007646D9">
        <w:rPr>
          <w:sz w:val="28"/>
          <w:szCs w:val="28"/>
        </w:rPr>
        <w:t>ублей</w:t>
      </w:r>
      <w:proofErr w:type="spellEnd"/>
      <w:r w:rsidRPr="007646D9">
        <w:rPr>
          <w:sz w:val="28"/>
          <w:szCs w:val="28"/>
        </w:rPr>
        <w:t xml:space="preserve">)                 </w:t>
      </w:r>
    </w:p>
    <w:tbl>
      <w:tblPr>
        <w:tblStyle w:val="a5"/>
        <w:tblW w:w="9468" w:type="dxa"/>
        <w:tblLook w:val="01E0" w:firstRow="1" w:lastRow="1" w:firstColumn="1" w:lastColumn="1" w:noHBand="0" w:noVBand="0"/>
      </w:tblPr>
      <w:tblGrid>
        <w:gridCol w:w="4068"/>
        <w:gridCol w:w="2880"/>
        <w:gridCol w:w="2520"/>
      </w:tblGrid>
      <w:tr w:rsidR="005618CE" w:rsidRPr="007646D9" w:rsidTr="00885BDC">
        <w:tc>
          <w:tcPr>
            <w:tcW w:w="4068" w:type="dxa"/>
            <w:vAlign w:val="center"/>
          </w:tcPr>
          <w:p w:rsidR="005618CE" w:rsidRPr="007646D9" w:rsidRDefault="005618CE" w:rsidP="00885BDC">
            <w:pPr>
              <w:jc w:val="center"/>
              <w:rPr>
                <w:sz w:val="28"/>
                <w:szCs w:val="28"/>
              </w:rPr>
            </w:pPr>
            <w:r w:rsidRPr="007646D9">
              <w:rPr>
                <w:sz w:val="28"/>
                <w:szCs w:val="28"/>
              </w:rPr>
              <w:t>Перечень муниципальных заимствований по видам</w:t>
            </w:r>
          </w:p>
        </w:tc>
        <w:tc>
          <w:tcPr>
            <w:tcW w:w="2880" w:type="dxa"/>
            <w:vAlign w:val="center"/>
          </w:tcPr>
          <w:p w:rsidR="005618CE" w:rsidRPr="007646D9" w:rsidRDefault="005618CE" w:rsidP="00885BDC">
            <w:pPr>
              <w:jc w:val="center"/>
              <w:rPr>
                <w:sz w:val="28"/>
                <w:szCs w:val="28"/>
              </w:rPr>
            </w:pPr>
            <w:r w:rsidRPr="007646D9">
              <w:rPr>
                <w:sz w:val="28"/>
                <w:szCs w:val="28"/>
              </w:rPr>
              <w:t>Объем привлечения муниципальных заимствований</w:t>
            </w:r>
          </w:p>
        </w:tc>
        <w:tc>
          <w:tcPr>
            <w:tcW w:w="2520" w:type="dxa"/>
            <w:vAlign w:val="center"/>
          </w:tcPr>
          <w:p w:rsidR="005618CE" w:rsidRPr="007646D9" w:rsidRDefault="005618CE" w:rsidP="00885BDC">
            <w:pPr>
              <w:jc w:val="center"/>
              <w:rPr>
                <w:sz w:val="28"/>
                <w:szCs w:val="28"/>
              </w:rPr>
            </w:pPr>
            <w:r w:rsidRPr="007646D9">
              <w:rPr>
                <w:sz w:val="28"/>
                <w:szCs w:val="28"/>
              </w:rPr>
              <w:t>Объем средств, направляемых на погашение основной суммы долга</w:t>
            </w:r>
          </w:p>
        </w:tc>
      </w:tr>
      <w:tr w:rsidR="005618CE" w:rsidRPr="007646D9" w:rsidTr="00885BDC">
        <w:trPr>
          <w:trHeight w:val="2436"/>
        </w:trPr>
        <w:tc>
          <w:tcPr>
            <w:tcW w:w="4068" w:type="dxa"/>
          </w:tcPr>
          <w:p w:rsidR="005618CE" w:rsidRPr="007646D9" w:rsidRDefault="005618CE" w:rsidP="00885BDC">
            <w:pPr>
              <w:rPr>
                <w:sz w:val="28"/>
                <w:szCs w:val="28"/>
              </w:rPr>
            </w:pPr>
            <w:r w:rsidRPr="007646D9">
              <w:rPr>
                <w:sz w:val="28"/>
                <w:szCs w:val="28"/>
              </w:rPr>
              <w:t>Муниципальные заимствования, всего</w:t>
            </w:r>
          </w:p>
          <w:p w:rsidR="005618CE" w:rsidRDefault="005618CE" w:rsidP="00885BDC">
            <w:pPr>
              <w:rPr>
                <w:sz w:val="28"/>
                <w:szCs w:val="28"/>
              </w:rPr>
            </w:pPr>
            <w:r w:rsidRPr="007646D9">
              <w:rPr>
                <w:sz w:val="28"/>
                <w:szCs w:val="28"/>
              </w:rPr>
              <w:t xml:space="preserve">в том числе: </w:t>
            </w:r>
          </w:p>
          <w:p w:rsidR="005618CE" w:rsidRPr="007646D9" w:rsidRDefault="005618CE" w:rsidP="00885BDC">
            <w:pPr>
              <w:rPr>
                <w:sz w:val="28"/>
                <w:szCs w:val="28"/>
              </w:rPr>
            </w:pPr>
          </w:p>
          <w:p w:rsidR="005618CE" w:rsidRPr="003C3268" w:rsidRDefault="005618CE" w:rsidP="00885BDC">
            <w:pPr>
              <w:rPr>
                <w:sz w:val="28"/>
                <w:szCs w:val="28"/>
              </w:rPr>
            </w:pPr>
            <w:r w:rsidRPr="007646D9">
              <w:rPr>
                <w:sz w:val="28"/>
                <w:szCs w:val="28"/>
              </w:rPr>
              <w:t>Кредиты от кредитных организаций в валюте Российской Федерации</w:t>
            </w:r>
          </w:p>
        </w:tc>
        <w:tc>
          <w:tcPr>
            <w:tcW w:w="2880" w:type="dxa"/>
          </w:tcPr>
          <w:p w:rsidR="005618CE" w:rsidRPr="007646D9" w:rsidRDefault="005618CE" w:rsidP="00885BDC">
            <w:pPr>
              <w:jc w:val="center"/>
              <w:rPr>
                <w:sz w:val="28"/>
                <w:szCs w:val="28"/>
              </w:rPr>
            </w:pPr>
          </w:p>
          <w:p w:rsidR="005618CE" w:rsidRPr="007646D9" w:rsidRDefault="005618CE" w:rsidP="00885BDC">
            <w:pPr>
              <w:jc w:val="center"/>
              <w:rPr>
                <w:sz w:val="28"/>
                <w:szCs w:val="28"/>
              </w:rPr>
            </w:pPr>
            <w:r w:rsidRPr="007646D9">
              <w:rPr>
                <w:sz w:val="28"/>
                <w:szCs w:val="28"/>
              </w:rPr>
              <w:t>1050000,0</w:t>
            </w:r>
          </w:p>
          <w:p w:rsidR="005618CE" w:rsidRPr="007646D9" w:rsidRDefault="005618CE" w:rsidP="00885BDC">
            <w:pPr>
              <w:rPr>
                <w:sz w:val="28"/>
                <w:szCs w:val="28"/>
              </w:rPr>
            </w:pPr>
            <w:r w:rsidRPr="007646D9">
              <w:rPr>
                <w:sz w:val="28"/>
                <w:szCs w:val="28"/>
              </w:rPr>
              <w:t xml:space="preserve">              </w:t>
            </w:r>
          </w:p>
          <w:p w:rsidR="005618CE" w:rsidRPr="007646D9" w:rsidRDefault="005618CE" w:rsidP="00885BDC">
            <w:pPr>
              <w:jc w:val="center"/>
              <w:rPr>
                <w:sz w:val="28"/>
                <w:szCs w:val="28"/>
              </w:rPr>
            </w:pPr>
          </w:p>
          <w:p w:rsidR="005618CE" w:rsidRPr="007646D9" w:rsidRDefault="005618CE" w:rsidP="00885BDC">
            <w:pPr>
              <w:jc w:val="center"/>
              <w:rPr>
                <w:sz w:val="28"/>
                <w:szCs w:val="28"/>
              </w:rPr>
            </w:pPr>
          </w:p>
          <w:p w:rsidR="005618CE" w:rsidRPr="007646D9" w:rsidRDefault="005618CE" w:rsidP="00885BDC">
            <w:pPr>
              <w:rPr>
                <w:sz w:val="28"/>
                <w:szCs w:val="28"/>
              </w:rPr>
            </w:pPr>
          </w:p>
          <w:p w:rsidR="005618CE" w:rsidRPr="007646D9" w:rsidRDefault="005618CE" w:rsidP="00885BDC">
            <w:pPr>
              <w:jc w:val="center"/>
              <w:rPr>
                <w:sz w:val="28"/>
                <w:szCs w:val="28"/>
              </w:rPr>
            </w:pPr>
            <w:r>
              <w:rPr>
                <w:sz w:val="28"/>
                <w:szCs w:val="28"/>
              </w:rPr>
              <w:t>1050000,0</w:t>
            </w:r>
          </w:p>
          <w:p w:rsidR="005618CE" w:rsidRPr="003C3268" w:rsidRDefault="005618CE" w:rsidP="00885BDC">
            <w:pPr>
              <w:rPr>
                <w:sz w:val="28"/>
                <w:szCs w:val="28"/>
              </w:rPr>
            </w:pPr>
          </w:p>
        </w:tc>
        <w:tc>
          <w:tcPr>
            <w:tcW w:w="2520" w:type="dxa"/>
          </w:tcPr>
          <w:p w:rsidR="005618CE" w:rsidRPr="007646D9" w:rsidRDefault="005618CE" w:rsidP="00885BDC">
            <w:pPr>
              <w:jc w:val="center"/>
              <w:rPr>
                <w:sz w:val="28"/>
                <w:szCs w:val="28"/>
              </w:rPr>
            </w:pPr>
          </w:p>
          <w:p w:rsidR="005618CE" w:rsidRPr="007646D9" w:rsidRDefault="005618CE" w:rsidP="00885BDC">
            <w:pPr>
              <w:jc w:val="center"/>
              <w:rPr>
                <w:sz w:val="28"/>
                <w:szCs w:val="28"/>
              </w:rPr>
            </w:pPr>
            <w:r w:rsidRPr="007646D9">
              <w:rPr>
                <w:sz w:val="28"/>
                <w:szCs w:val="28"/>
              </w:rPr>
              <w:t>250000,0</w:t>
            </w:r>
          </w:p>
          <w:p w:rsidR="005618CE" w:rsidRPr="007646D9" w:rsidRDefault="005618CE" w:rsidP="00885BDC">
            <w:pPr>
              <w:jc w:val="center"/>
              <w:rPr>
                <w:sz w:val="28"/>
                <w:szCs w:val="28"/>
              </w:rPr>
            </w:pPr>
          </w:p>
          <w:p w:rsidR="005618CE" w:rsidRPr="007646D9" w:rsidRDefault="005618CE" w:rsidP="00885BDC">
            <w:pPr>
              <w:jc w:val="center"/>
              <w:rPr>
                <w:sz w:val="28"/>
                <w:szCs w:val="28"/>
              </w:rPr>
            </w:pPr>
          </w:p>
          <w:p w:rsidR="005618CE" w:rsidRPr="007646D9" w:rsidRDefault="005618CE" w:rsidP="00885BDC">
            <w:pPr>
              <w:jc w:val="center"/>
              <w:rPr>
                <w:sz w:val="28"/>
                <w:szCs w:val="28"/>
              </w:rPr>
            </w:pPr>
          </w:p>
          <w:p w:rsidR="005618CE" w:rsidRPr="007646D9" w:rsidRDefault="005618CE" w:rsidP="00885BDC">
            <w:pPr>
              <w:jc w:val="center"/>
              <w:rPr>
                <w:sz w:val="28"/>
                <w:szCs w:val="28"/>
              </w:rPr>
            </w:pPr>
          </w:p>
          <w:p w:rsidR="005618CE" w:rsidRPr="007646D9" w:rsidRDefault="005618CE" w:rsidP="00885BDC">
            <w:pPr>
              <w:jc w:val="center"/>
              <w:rPr>
                <w:sz w:val="28"/>
                <w:szCs w:val="28"/>
              </w:rPr>
            </w:pPr>
            <w:r>
              <w:rPr>
                <w:sz w:val="28"/>
                <w:szCs w:val="28"/>
              </w:rPr>
              <w:t>250000,0</w:t>
            </w:r>
          </w:p>
          <w:p w:rsidR="005618CE" w:rsidRPr="003C3268" w:rsidRDefault="005618CE" w:rsidP="00885BDC">
            <w:pPr>
              <w:rPr>
                <w:sz w:val="28"/>
                <w:szCs w:val="28"/>
              </w:rPr>
            </w:pPr>
          </w:p>
        </w:tc>
      </w:tr>
    </w:tbl>
    <w:p w:rsidR="005618CE" w:rsidRPr="00D65AC7" w:rsidRDefault="005618CE" w:rsidP="005618CE">
      <w:pPr>
        <w:autoSpaceDE w:val="0"/>
        <w:autoSpaceDN w:val="0"/>
        <w:adjustRightInd w:val="0"/>
        <w:jc w:val="both"/>
        <w:outlineLvl w:val="0"/>
        <w:rPr>
          <w:sz w:val="28"/>
          <w:szCs w:val="28"/>
          <w:lang w:val="en-US"/>
        </w:rPr>
      </w:pPr>
    </w:p>
    <w:p w:rsidR="005618CE" w:rsidRPr="00D65AC7" w:rsidRDefault="005618CE" w:rsidP="005618CE">
      <w:pPr>
        <w:tabs>
          <w:tab w:val="left" w:pos="1485"/>
        </w:tabs>
        <w:rPr>
          <w:b/>
          <w:sz w:val="28"/>
          <w:szCs w:val="28"/>
          <w:lang w:val="en-US"/>
        </w:rPr>
      </w:pPr>
    </w:p>
    <w:p w:rsidR="005618CE" w:rsidRDefault="005618CE" w:rsidP="005618CE">
      <w:pPr>
        <w:tabs>
          <w:tab w:val="left" w:pos="1485"/>
        </w:tabs>
        <w:jc w:val="center"/>
        <w:rPr>
          <w:sz w:val="28"/>
          <w:szCs w:val="28"/>
        </w:rPr>
      </w:pPr>
    </w:p>
    <w:p w:rsidR="005618CE" w:rsidRPr="007646D9" w:rsidRDefault="005618CE" w:rsidP="005618CE">
      <w:pPr>
        <w:tabs>
          <w:tab w:val="left" w:pos="1485"/>
        </w:tabs>
        <w:jc w:val="center"/>
        <w:rPr>
          <w:sz w:val="28"/>
          <w:szCs w:val="28"/>
        </w:rPr>
      </w:pPr>
      <w:r w:rsidRPr="007646D9">
        <w:rPr>
          <w:sz w:val="28"/>
          <w:szCs w:val="28"/>
        </w:rPr>
        <w:t xml:space="preserve">Верхний предел муниципального долга городского округа </w:t>
      </w:r>
    </w:p>
    <w:p w:rsidR="005618CE" w:rsidRPr="007646D9" w:rsidRDefault="005618CE" w:rsidP="005618CE">
      <w:pPr>
        <w:tabs>
          <w:tab w:val="left" w:pos="1485"/>
        </w:tabs>
        <w:jc w:val="center"/>
        <w:rPr>
          <w:sz w:val="28"/>
          <w:szCs w:val="28"/>
        </w:rPr>
      </w:pPr>
      <w:r w:rsidRPr="007646D9">
        <w:rPr>
          <w:sz w:val="28"/>
          <w:szCs w:val="28"/>
        </w:rPr>
        <w:t>город Уфа Республики Башкортостан</w:t>
      </w:r>
    </w:p>
    <w:p w:rsidR="005618CE" w:rsidRPr="007646D9" w:rsidRDefault="005618CE" w:rsidP="005618CE">
      <w:pPr>
        <w:tabs>
          <w:tab w:val="left" w:pos="1485"/>
        </w:tabs>
        <w:jc w:val="center"/>
        <w:rPr>
          <w:sz w:val="28"/>
          <w:szCs w:val="28"/>
        </w:rPr>
      </w:pPr>
      <w:r w:rsidRPr="007646D9">
        <w:rPr>
          <w:sz w:val="28"/>
          <w:szCs w:val="28"/>
        </w:rPr>
        <w:t>на 31 декабря 2012 года</w:t>
      </w:r>
    </w:p>
    <w:p w:rsidR="005618CE" w:rsidRPr="007646D9" w:rsidRDefault="005618CE" w:rsidP="005618CE">
      <w:pPr>
        <w:jc w:val="center"/>
        <w:rPr>
          <w:sz w:val="28"/>
          <w:szCs w:val="28"/>
        </w:rPr>
      </w:pPr>
      <w:r w:rsidRPr="007646D9">
        <w:rPr>
          <w:sz w:val="28"/>
          <w:szCs w:val="28"/>
        </w:rPr>
        <w:t xml:space="preserve">                                                                                         </w:t>
      </w:r>
      <w:r w:rsidRPr="007C3178">
        <w:rPr>
          <w:sz w:val="28"/>
          <w:szCs w:val="28"/>
        </w:rPr>
        <w:t xml:space="preserve">                      </w:t>
      </w:r>
      <w:r w:rsidRPr="007646D9">
        <w:rPr>
          <w:sz w:val="28"/>
          <w:szCs w:val="28"/>
        </w:rPr>
        <w:t>(</w:t>
      </w:r>
      <w:proofErr w:type="spellStart"/>
      <w:r w:rsidRPr="007646D9">
        <w:rPr>
          <w:sz w:val="28"/>
          <w:szCs w:val="28"/>
        </w:rPr>
        <w:t>тыс</w:t>
      </w:r>
      <w:proofErr w:type="gramStart"/>
      <w:r w:rsidRPr="007646D9">
        <w:rPr>
          <w:sz w:val="28"/>
          <w:szCs w:val="28"/>
        </w:rPr>
        <w:t>.р</w:t>
      </w:r>
      <w:proofErr w:type="gramEnd"/>
      <w:r w:rsidRPr="007646D9">
        <w:rPr>
          <w:sz w:val="28"/>
          <w:szCs w:val="28"/>
        </w:rPr>
        <w:t>ублей</w:t>
      </w:r>
      <w:proofErr w:type="spellEnd"/>
      <w:r w:rsidRPr="007646D9">
        <w:rPr>
          <w:sz w:val="28"/>
          <w:szCs w:val="28"/>
        </w:rPr>
        <w:t>)</w:t>
      </w:r>
    </w:p>
    <w:tbl>
      <w:tblPr>
        <w:tblStyle w:val="a5"/>
        <w:tblW w:w="0" w:type="auto"/>
        <w:tblLook w:val="01E0" w:firstRow="1" w:lastRow="1" w:firstColumn="1" w:lastColumn="1" w:noHBand="0" w:noVBand="0"/>
      </w:tblPr>
      <w:tblGrid>
        <w:gridCol w:w="5688"/>
        <w:gridCol w:w="3883"/>
      </w:tblGrid>
      <w:tr w:rsidR="005618CE" w:rsidRPr="007646D9" w:rsidTr="00885BDC">
        <w:tc>
          <w:tcPr>
            <w:tcW w:w="5688" w:type="dxa"/>
          </w:tcPr>
          <w:p w:rsidR="005618CE" w:rsidRPr="007646D9" w:rsidRDefault="005618CE" w:rsidP="00885BDC">
            <w:pPr>
              <w:rPr>
                <w:sz w:val="28"/>
                <w:szCs w:val="28"/>
              </w:rPr>
            </w:pPr>
            <w:r w:rsidRPr="007646D9">
              <w:rPr>
                <w:sz w:val="28"/>
                <w:szCs w:val="28"/>
              </w:rPr>
              <w:t>Верхний предел муниципального долга городского округа город Уфа Республики Башкортостан, тыс.</w:t>
            </w:r>
            <w:r>
              <w:rPr>
                <w:sz w:val="28"/>
                <w:szCs w:val="28"/>
              </w:rPr>
              <w:t xml:space="preserve"> </w:t>
            </w:r>
            <w:r w:rsidRPr="007646D9">
              <w:rPr>
                <w:sz w:val="28"/>
                <w:szCs w:val="28"/>
              </w:rPr>
              <w:t>рублей</w:t>
            </w:r>
          </w:p>
        </w:tc>
        <w:tc>
          <w:tcPr>
            <w:tcW w:w="3883" w:type="dxa"/>
          </w:tcPr>
          <w:p w:rsidR="005618CE" w:rsidRPr="007646D9" w:rsidRDefault="005618CE" w:rsidP="00885BDC">
            <w:pPr>
              <w:tabs>
                <w:tab w:val="left" w:pos="480"/>
                <w:tab w:val="left" w:pos="990"/>
              </w:tabs>
              <w:jc w:val="center"/>
              <w:rPr>
                <w:sz w:val="28"/>
                <w:szCs w:val="28"/>
              </w:rPr>
            </w:pPr>
            <w:r>
              <w:rPr>
                <w:sz w:val="28"/>
                <w:szCs w:val="28"/>
              </w:rPr>
              <w:t>6387913,753</w:t>
            </w:r>
          </w:p>
        </w:tc>
      </w:tr>
    </w:tbl>
    <w:p w:rsidR="005618CE" w:rsidRPr="007646D9" w:rsidRDefault="005618CE" w:rsidP="005618CE">
      <w:pPr>
        <w:jc w:val="both"/>
        <w:rPr>
          <w:sz w:val="28"/>
          <w:szCs w:val="28"/>
        </w:rPr>
      </w:pPr>
    </w:p>
    <w:p w:rsidR="005618CE" w:rsidRDefault="005618CE" w:rsidP="005618CE">
      <w:pPr>
        <w:jc w:val="both"/>
        <w:rPr>
          <w:sz w:val="28"/>
          <w:szCs w:val="28"/>
        </w:rPr>
      </w:pPr>
      <w:r>
        <w:rPr>
          <w:sz w:val="28"/>
          <w:szCs w:val="28"/>
        </w:rPr>
        <w:t xml:space="preserve">         </w:t>
      </w:r>
      <w:proofErr w:type="gramStart"/>
      <w:r w:rsidRPr="007646D9">
        <w:rPr>
          <w:sz w:val="28"/>
          <w:szCs w:val="28"/>
        </w:rPr>
        <w:t>Верхний предел муниципального долга городского округа город Уфа Республики Башкортостан на 31 декабря 2012 года (или на 1 января 2013 года) представляет собой расчетный показатель, определяемый как объем муниципального долга городского округа город Уфа Республики Башкортостан на 31 декабря 2011 года (по ожидаемой оценке), увеличенный на сумму муниципальных заимствований и муниципальных гарантий, запланированных на 2012 год, уменьшенный на сумму исполняемых</w:t>
      </w:r>
      <w:proofErr w:type="gramEnd"/>
      <w:r w:rsidRPr="007646D9">
        <w:rPr>
          <w:sz w:val="28"/>
          <w:szCs w:val="28"/>
        </w:rPr>
        <w:t xml:space="preserve"> в 2012 году муниципальных долговых обязательств (по муниципальным ценным бумагам, креди</w:t>
      </w:r>
      <w:r>
        <w:rPr>
          <w:sz w:val="28"/>
          <w:szCs w:val="28"/>
        </w:rPr>
        <w:t>там, государственным гарантиям)».</w:t>
      </w:r>
    </w:p>
    <w:p w:rsidR="005618CE" w:rsidRDefault="005618CE" w:rsidP="005618CE">
      <w:pPr>
        <w:spacing w:line="360" w:lineRule="auto"/>
        <w:ind w:firstLine="708"/>
        <w:jc w:val="both"/>
        <w:rPr>
          <w:sz w:val="27"/>
          <w:szCs w:val="27"/>
        </w:rPr>
      </w:pPr>
    </w:p>
    <w:p w:rsidR="005618CE" w:rsidRDefault="005618CE" w:rsidP="005618CE">
      <w:pPr>
        <w:spacing w:line="360" w:lineRule="auto"/>
        <w:ind w:firstLine="708"/>
        <w:jc w:val="both"/>
        <w:rPr>
          <w:sz w:val="27"/>
          <w:szCs w:val="27"/>
        </w:rPr>
      </w:pPr>
      <w:r w:rsidRPr="00E33057">
        <w:rPr>
          <w:sz w:val="27"/>
          <w:szCs w:val="27"/>
        </w:rPr>
        <w:t>2</w:t>
      </w:r>
      <w:r>
        <w:rPr>
          <w:sz w:val="27"/>
          <w:szCs w:val="27"/>
        </w:rPr>
        <w:t xml:space="preserve">. Опубликовать настоящее решение в газете «Вечерняя Уфа».  </w:t>
      </w:r>
    </w:p>
    <w:p w:rsidR="005618CE" w:rsidRPr="00E33057" w:rsidRDefault="005618CE" w:rsidP="005618CE">
      <w:pPr>
        <w:spacing w:line="360" w:lineRule="auto"/>
        <w:ind w:firstLine="708"/>
        <w:jc w:val="both"/>
        <w:rPr>
          <w:sz w:val="27"/>
          <w:szCs w:val="27"/>
        </w:rPr>
      </w:pPr>
      <w:r w:rsidRPr="009C5EDC">
        <w:rPr>
          <w:sz w:val="27"/>
          <w:szCs w:val="27"/>
        </w:rPr>
        <w:t xml:space="preserve">3. </w:t>
      </w:r>
      <w:r w:rsidRPr="00E33057">
        <w:rPr>
          <w:sz w:val="27"/>
          <w:szCs w:val="27"/>
        </w:rPr>
        <w:t xml:space="preserve">Данное решение вступает в силу со дня его официального опубликования. </w:t>
      </w:r>
    </w:p>
    <w:p w:rsidR="005618CE" w:rsidRDefault="005618CE" w:rsidP="005618CE">
      <w:pPr>
        <w:spacing w:line="360" w:lineRule="auto"/>
        <w:jc w:val="both"/>
        <w:rPr>
          <w:sz w:val="27"/>
          <w:szCs w:val="27"/>
        </w:rPr>
      </w:pPr>
    </w:p>
    <w:p w:rsidR="00D518D8" w:rsidRPr="005618CE" w:rsidRDefault="00D518D8" w:rsidP="005618CE">
      <w:bookmarkStart w:id="0" w:name="_GoBack"/>
      <w:bookmarkEnd w:id="0"/>
    </w:p>
    <w:sectPr w:rsidR="00D518D8" w:rsidRPr="00561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9BF"/>
    <w:multiLevelType w:val="hybridMultilevel"/>
    <w:tmpl w:val="552E5F3C"/>
    <w:lvl w:ilvl="0" w:tplc="F4F899CA">
      <w:start w:val="1"/>
      <w:numFmt w:val="decimal"/>
      <w:lvlText w:val="%1)"/>
      <w:lvlJc w:val="left"/>
      <w:pPr>
        <w:tabs>
          <w:tab w:val="num" w:pos="1774"/>
        </w:tabs>
        <w:ind w:left="1774" w:hanging="106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F996F97"/>
    <w:multiLevelType w:val="hybridMultilevel"/>
    <w:tmpl w:val="C2E2E1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D7"/>
    <w:rsid w:val="000922D7"/>
    <w:rsid w:val="005618CE"/>
    <w:rsid w:val="008F2913"/>
    <w:rsid w:val="00D518D8"/>
    <w:rsid w:val="00F5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rsid w:val="000922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3">
    <w:name w:val=" Знак Знак Знак Знак"/>
    <w:basedOn w:val="a"/>
    <w:autoRedefine/>
    <w:rsid w:val="008F2913"/>
    <w:pPr>
      <w:spacing w:after="160" w:line="240" w:lineRule="exact"/>
    </w:pPr>
    <w:rPr>
      <w:sz w:val="28"/>
      <w:szCs w:val="20"/>
      <w:lang w:val="en-US" w:eastAsia="en-US"/>
    </w:rPr>
  </w:style>
  <w:style w:type="paragraph" w:customStyle="1" w:styleId="a4">
    <w:name w:val="Знак Знак Знак Знак Знак Знак Знак Знак Знак Знак Знак Знак Знак Знак Знак Знак"/>
    <w:basedOn w:val="a"/>
    <w:autoRedefine/>
    <w:rsid w:val="008F2913"/>
    <w:pPr>
      <w:spacing w:after="160" w:line="240" w:lineRule="exact"/>
    </w:pPr>
    <w:rPr>
      <w:sz w:val="28"/>
      <w:szCs w:val="20"/>
      <w:lang w:val="en-US" w:eastAsia="en-US"/>
    </w:rPr>
  </w:style>
  <w:style w:type="paragraph" w:customStyle="1" w:styleId="ConsPlusNonformat">
    <w:name w:val="ConsPlusNonformat"/>
    <w:rsid w:val="008F291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8F2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F29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
    <w:link w:val="a7"/>
    <w:rsid w:val="008F2913"/>
    <w:pPr>
      <w:tabs>
        <w:tab w:val="center" w:pos="4677"/>
        <w:tab w:val="right" w:pos="9355"/>
      </w:tabs>
    </w:pPr>
  </w:style>
  <w:style w:type="character" w:customStyle="1" w:styleId="a7">
    <w:name w:val="Нижний колонтитул Знак"/>
    <w:basedOn w:val="a0"/>
    <w:link w:val="a6"/>
    <w:rsid w:val="008F2913"/>
    <w:rPr>
      <w:rFonts w:ascii="Times New Roman" w:eastAsia="Times New Roman" w:hAnsi="Times New Roman" w:cs="Times New Roman"/>
      <w:sz w:val="24"/>
      <w:szCs w:val="24"/>
      <w:lang w:eastAsia="ru-RU"/>
    </w:rPr>
  </w:style>
  <w:style w:type="character" w:styleId="a8">
    <w:name w:val="page number"/>
    <w:basedOn w:val="a0"/>
    <w:rsid w:val="008F2913"/>
  </w:style>
  <w:style w:type="paragraph" w:styleId="a9">
    <w:name w:val="Balloon Text"/>
    <w:basedOn w:val="a"/>
    <w:link w:val="aa"/>
    <w:semiHidden/>
    <w:rsid w:val="008F2913"/>
    <w:rPr>
      <w:rFonts w:ascii="Tahoma" w:hAnsi="Tahoma" w:cs="Tahoma"/>
      <w:sz w:val="16"/>
      <w:szCs w:val="16"/>
    </w:rPr>
  </w:style>
  <w:style w:type="character" w:customStyle="1" w:styleId="aa">
    <w:name w:val="Текст выноски Знак"/>
    <w:basedOn w:val="a0"/>
    <w:link w:val="a9"/>
    <w:semiHidden/>
    <w:rsid w:val="008F2913"/>
    <w:rPr>
      <w:rFonts w:ascii="Tahoma" w:eastAsia="Times New Roman" w:hAnsi="Tahoma" w:cs="Tahoma"/>
      <w:sz w:val="16"/>
      <w:szCs w:val="16"/>
      <w:lang w:eastAsia="ru-RU"/>
    </w:rPr>
  </w:style>
  <w:style w:type="paragraph" w:styleId="ab">
    <w:name w:val="Body Text"/>
    <w:basedOn w:val="a"/>
    <w:link w:val="ac"/>
    <w:rsid w:val="008F2913"/>
    <w:pPr>
      <w:widowControl w:val="0"/>
      <w:autoSpaceDE w:val="0"/>
      <w:autoSpaceDN w:val="0"/>
      <w:adjustRightInd w:val="0"/>
      <w:spacing w:after="120" w:line="360" w:lineRule="auto"/>
      <w:ind w:firstLine="720"/>
      <w:jc w:val="both"/>
    </w:pPr>
    <w:rPr>
      <w:sz w:val="28"/>
      <w:szCs w:val="20"/>
    </w:rPr>
  </w:style>
  <w:style w:type="character" w:customStyle="1" w:styleId="ac">
    <w:name w:val="Основной текст Знак"/>
    <w:basedOn w:val="a0"/>
    <w:link w:val="ab"/>
    <w:rsid w:val="008F2913"/>
    <w:rPr>
      <w:rFonts w:ascii="Times New Roman" w:eastAsia="Times New Roman" w:hAnsi="Times New Roman" w:cs="Times New Roman"/>
      <w:sz w:val="28"/>
      <w:szCs w:val="20"/>
      <w:lang w:eastAsia="ru-RU"/>
    </w:rPr>
  </w:style>
  <w:style w:type="character" w:styleId="ad">
    <w:name w:val="Hyperlink"/>
    <w:basedOn w:val="a0"/>
    <w:rsid w:val="008F2913"/>
    <w:rPr>
      <w:color w:val="0000FF"/>
      <w:u w:val="single"/>
    </w:rPr>
  </w:style>
  <w:style w:type="character" w:styleId="ae">
    <w:name w:val="FollowedHyperlink"/>
    <w:basedOn w:val="a0"/>
    <w:rsid w:val="008F29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rsid w:val="000922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3">
    <w:name w:val=" Знак Знак Знак Знак"/>
    <w:basedOn w:val="a"/>
    <w:autoRedefine/>
    <w:rsid w:val="008F2913"/>
    <w:pPr>
      <w:spacing w:after="160" w:line="240" w:lineRule="exact"/>
    </w:pPr>
    <w:rPr>
      <w:sz w:val="28"/>
      <w:szCs w:val="20"/>
      <w:lang w:val="en-US" w:eastAsia="en-US"/>
    </w:rPr>
  </w:style>
  <w:style w:type="paragraph" w:customStyle="1" w:styleId="a4">
    <w:name w:val="Знак Знак Знак Знак Знак Знак Знак Знак Знак Знак Знак Знак Знак Знак Знак Знак"/>
    <w:basedOn w:val="a"/>
    <w:autoRedefine/>
    <w:rsid w:val="008F2913"/>
    <w:pPr>
      <w:spacing w:after="160" w:line="240" w:lineRule="exact"/>
    </w:pPr>
    <w:rPr>
      <w:sz w:val="28"/>
      <w:szCs w:val="20"/>
      <w:lang w:val="en-US" w:eastAsia="en-US"/>
    </w:rPr>
  </w:style>
  <w:style w:type="paragraph" w:customStyle="1" w:styleId="ConsPlusNonformat">
    <w:name w:val="ConsPlusNonformat"/>
    <w:rsid w:val="008F291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8F2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F29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
    <w:link w:val="a7"/>
    <w:rsid w:val="008F2913"/>
    <w:pPr>
      <w:tabs>
        <w:tab w:val="center" w:pos="4677"/>
        <w:tab w:val="right" w:pos="9355"/>
      </w:tabs>
    </w:pPr>
  </w:style>
  <w:style w:type="character" w:customStyle="1" w:styleId="a7">
    <w:name w:val="Нижний колонтитул Знак"/>
    <w:basedOn w:val="a0"/>
    <w:link w:val="a6"/>
    <w:rsid w:val="008F2913"/>
    <w:rPr>
      <w:rFonts w:ascii="Times New Roman" w:eastAsia="Times New Roman" w:hAnsi="Times New Roman" w:cs="Times New Roman"/>
      <w:sz w:val="24"/>
      <w:szCs w:val="24"/>
      <w:lang w:eastAsia="ru-RU"/>
    </w:rPr>
  </w:style>
  <w:style w:type="character" w:styleId="a8">
    <w:name w:val="page number"/>
    <w:basedOn w:val="a0"/>
    <w:rsid w:val="008F2913"/>
  </w:style>
  <w:style w:type="paragraph" w:styleId="a9">
    <w:name w:val="Balloon Text"/>
    <w:basedOn w:val="a"/>
    <w:link w:val="aa"/>
    <w:semiHidden/>
    <w:rsid w:val="008F2913"/>
    <w:rPr>
      <w:rFonts w:ascii="Tahoma" w:hAnsi="Tahoma" w:cs="Tahoma"/>
      <w:sz w:val="16"/>
      <w:szCs w:val="16"/>
    </w:rPr>
  </w:style>
  <w:style w:type="character" w:customStyle="1" w:styleId="aa">
    <w:name w:val="Текст выноски Знак"/>
    <w:basedOn w:val="a0"/>
    <w:link w:val="a9"/>
    <w:semiHidden/>
    <w:rsid w:val="008F2913"/>
    <w:rPr>
      <w:rFonts w:ascii="Tahoma" w:eastAsia="Times New Roman" w:hAnsi="Tahoma" w:cs="Tahoma"/>
      <w:sz w:val="16"/>
      <w:szCs w:val="16"/>
      <w:lang w:eastAsia="ru-RU"/>
    </w:rPr>
  </w:style>
  <w:style w:type="paragraph" w:styleId="ab">
    <w:name w:val="Body Text"/>
    <w:basedOn w:val="a"/>
    <w:link w:val="ac"/>
    <w:rsid w:val="008F2913"/>
    <w:pPr>
      <w:widowControl w:val="0"/>
      <w:autoSpaceDE w:val="0"/>
      <w:autoSpaceDN w:val="0"/>
      <w:adjustRightInd w:val="0"/>
      <w:spacing w:after="120" w:line="360" w:lineRule="auto"/>
      <w:ind w:firstLine="720"/>
      <w:jc w:val="both"/>
    </w:pPr>
    <w:rPr>
      <w:sz w:val="28"/>
      <w:szCs w:val="20"/>
    </w:rPr>
  </w:style>
  <w:style w:type="character" w:customStyle="1" w:styleId="ac">
    <w:name w:val="Основной текст Знак"/>
    <w:basedOn w:val="a0"/>
    <w:link w:val="ab"/>
    <w:rsid w:val="008F2913"/>
    <w:rPr>
      <w:rFonts w:ascii="Times New Roman" w:eastAsia="Times New Roman" w:hAnsi="Times New Roman" w:cs="Times New Roman"/>
      <w:sz w:val="28"/>
      <w:szCs w:val="20"/>
      <w:lang w:eastAsia="ru-RU"/>
    </w:rPr>
  </w:style>
  <w:style w:type="character" w:styleId="ad">
    <w:name w:val="Hyperlink"/>
    <w:basedOn w:val="a0"/>
    <w:rsid w:val="008F2913"/>
    <w:rPr>
      <w:color w:val="0000FF"/>
      <w:u w:val="single"/>
    </w:rPr>
  </w:style>
  <w:style w:type="character" w:styleId="ae">
    <w:name w:val="FollowedHyperlink"/>
    <w:basedOn w:val="a0"/>
    <w:rsid w:val="008F29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2012-08-24T09:10:00Z</dcterms:created>
  <dcterms:modified xsi:type="dcterms:W3CDTF">2012-08-24T09:10:00Z</dcterms:modified>
</cp:coreProperties>
</file>